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ТЕХНИЧЕСКИЙ РАЙДЕР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ТЕХНИЧЕСКИЙ РАЙДЕР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Ch. No Instrument Source Insert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Kick Mic Shure 52 Beta — Only Compressor/Gate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 Snare top Mic Shure SM 57 Compressor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 Hi-hat Mic condenser type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 Rack tom 10” Mic SM 57/ Sennheiser e604 Gate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 Rack tom 12” Mic SM 57/ Sennheiser e604 Gate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 Floor tom 14”/ 16” Mic SM 57/ Sennheiser e604 Gate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 Overhead left Mic condenser type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 Overhead right Mic condenser type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9-10 Guitar Line. Stereo D.box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11-12 Bass Line. Stereo D.box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 Play Back L / d. box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 Play Back R / d. box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15. Click.  D.box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16 Lead Voc 1 радиосистема SHURE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17 Lead Voc 2 радиосистемв SHURE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18 Sax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19 Hall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 Delay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Беклайн: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Необходимое оборудование на сцене: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Рядом с бас-гитаристом: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Устойчивая стойка для ноутбука с картой или корф/ящик для оборудования размерами не менее высота 60см длина 50см ширина 50см.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Playback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 канала плейбек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канал Click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3* D-box, миниджек.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Бас: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Стерео дибокс или два моно (соответственно Два джек-джек.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Стойку для бас-гитары.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Сетевой фильтр.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Для гитары: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Устойчивая стойка под гитару.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кабель «джек – джек», 2 шт.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Stereo D.box.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Вокал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 прямые микрофонные стойки с круглым основанием.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2* Микрофона радио SHURE/Telefunken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(кроме PG, BLX и похожих бюджетных серий)..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II. Характеристики микшерного пульта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Цифровые консоли фирмы Yamaha – предпочтительно. В случае выступления нескольких коллективов, работаем только с цифровой консолью.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III. Мониторная линия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Использование 6-х ушных мониторов Senh G3/G4. Ушные мониторы в </w:t>
      </w:r>
      <w:r w:rsidDel="00000000" w:rsidR="00000000" w:rsidRPr="00000000">
        <w:rPr>
          <w:b w:val="1"/>
          <w:u w:val="single"/>
          <w:rtl w:val="0"/>
        </w:rPr>
        <w:t xml:space="preserve">стерео!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Допустим вариант 5-х inear + 1 пульт для барабанщика.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Фронтлайн: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IV. Звукоусиление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Вся акустическая система должна быть адаптирована («продута») к акустическим характеристикам помещения или открытой площадки при помощи тестовых шумов. Система звукоусиления должна обеспечивать равномерное озвучивание концертной площадки с неравномерностью АЧХ не более 3 dB в частотном диапазоне 40Hz-16000Hz со звуковым давлением 95-110 dBSPL.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V. Звукорежиссер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